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E2" w:rsidRDefault="00BC55F2">
      <w:r>
        <w:t xml:space="preserve">Decyzje </w:t>
      </w:r>
      <w:proofErr w:type="spellStart"/>
      <w:r>
        <w:t>BoE</w:t>
      </w:r>
      <w:proofErr w:type="spellEnd"/>
    </w:p>
    <w:p w:rsidR="00BC55F2" w:rsidRDefault="00BC55F2"/>
    <w:p w:rsidR="00BC55F2" w:rsidRDefault="00211001">
      <w:r>
        <w:t xml:space="preserve">Trzy komitety polityk </w:t>
      </w:r>
      <w:proofErr w:type="spellStart"/>
      <w:r>
        <w:t>podjely</w:t>
      </w:r>
      <w:proofErr w:type="spellEnd"/>
      <w:r>
        <w:t xml:space="preserve"> </w:t>
      </w:r>
      <w:proofErr w:type="spellStart"/>
      <w:r>
        <w:t>nastepujace</w:t>
      </w:r>
      <w:proofErr w:type="spellEnd"/>
      <w:r>
        <w:t xml:space="preserve"> decyzje:</w:t>
      </w:r>
    </w:p>
    <w:p w:rsidR="00211001" w:rsidRDefault="00211001"/>
    <w:p w:rsidR="00211001" w:rsidRDefault="00211001"/>
    <w:p w:rsidR="00211001" w:rsidRPr="00211001" w:rsidRDefault="00211001">
      <w:r>
        <w:t xml:space="preserve">1. </w:t>
      </w:r>
      <w:proofErr w:type="spellStart"/>
      <w:r w:rsidR="00BC55F2" w:rsidRPr="00211001">
        <w:t>Monetary</w:t>
      </w:r>
      <w:proofErr w:type="spellEnd"/>
      <w:r w:rsidR="00BC55F2" w:rsidRPr="00211001">
        <w:t xml:space="preserve"> Policy </w:t>
      </w:r>
      <w:proofErr w:type="spellStart"/>
      <w:r w:rsidR="00BC55F2" w:rsidRPr="00211001">
        <w:t>Committee</w:t>
      </w:r>
      <w:proofErr w:type="spellEnd"/>
      <w:r w:rsidR="00BC55F2" w:rsidRPr="00211001">
        <w:t xml:space="preserve"> (MPC)</w:t>
      </w:r>
      <w:r w:rsidRPr="00211001">
        <w:t xml:space="preserve"> w głosowaniu jednomy</w:t>
      </w:r>
      <w:r>
        <w:t>ś</w:t>
      </w:r>
      <w:r w:rsidRPr="00211001">
        <w:t>lnym</w:t>
      </w:r>
    </w:p>
    <w:p w:rsidR="00211001" w:rsidRDefault="00211001"/>
    <w:p w:rsidR="00211001" w:rsidRDefault="00211001">
      <w:r>
        <w:t>1.1.</w:t>
      </w:r>
      <w:r w:rsidR="00BC55F2" w:rsidRPr="00211001">
        <w:t xml:space="preserve"> </w:t>
      </w:r>
      <w:proofErr w:type="gramStart"/>
      <w:r w:rsidRPr="00211001">
        <w:t>zredukował</w:t>
      </w:r>
      <w:proofErr w:type="gramEnd"/>
      <w:r w:rsidRPr="00211001">
        <w:t xml:space="preserve"> Bank </w:t>
      </w:r>
      <w:proofErr w:type="spellStart"/>
      <w:r w:rsidRPr="00211001">
        <w:t>Rate</w:t>
      </w:r>
      <w:proofErr w:type="spellEnd"/>
      <w:r w:rsidRPr="00211001">
        <w:t xml:space="preserve"> o 50 punktó</w:t>
      </w:r>
      <w:r>
        <w:t>w bazowych do 0,25%</w:t>
      </w:r>
    </w:p>
    <w:p w:rsidR="00211001" w:rsidRDefault="00211001">
      <w:r>
        <w:t xml:space="preserve">1.2. </w:t>
      </w:r>
      <w:proofErr w:type="gramStart"/>
      <w:r>
        <w:t>wprowadził</w:t>
      </w:r>
      <w:proofErr w:type="gramEnd"/>
      <w:r>
        <w:t xml:space="preserve"> nowy </w:t>
      </w:r>
      <w:r w:rsidR="00BC55F2" w:rsidRPr="00211001">
        <w:t xml:space="preserve">Term </w:t>
      </w:r>
      <w:proofErr w:type="spellStart"/>
      <w:r w:rsidR="00BC55F2" w:rsidRPr="00211001">
        <w:t>Funding</w:t>
      </w:r>
      <w:proofErr w:type="spellEnd"/>
      <w:r w:rsidR="00BC55F2" w:rsidRPr="00211001">
        <w:t xml:space="preserve"> </w:t>
      </w:r>
      <w:proofErr w:type="spellStart"/>
      <w:r>
        <w:t>S</w:t>
      </w:r>
      <w:r w:rsidR="00BC55F2" w:rsidRPr="00211001">
        <w:t>cheme</w:t>
      </w:r>
      <w:proofErr w:type="spellEnd"/>
      <w:r w:rsidRPr="00211001">
        <w:t xml:space="preserve"> z dodatkowymi zach</w:t>
      </w:r>
      <w:r>
        <w:t>ętami dla małych i średnich firm (</w:t>
      </w:r>
      <w:r w:rsidR="00BC55F2" w:rsidRPr="00211001">
        <w:t>TFSME)</w:t>
      </w:r>
      <w:r w:rsidRPr="00211001">
        <w:t xml:space="preserve"> finansowany z rezerw banku centralneg</w:t>
      </w:r>
      <w:r>
        <w:t>o</w:t>
      </w:r>
    </w:p>
    <w:p w:rsidR="00211001" w:rsidRPr="00211001" w:rsidRDefault="00211001">
      <w:r>
        <w:t xml:space="preserve">1.3. </w:t>
      </w:r>
      <w:proofErr w:type="gramStart"/>
      <w:r w:rsidRPr="00211001">
        <w:t>utrzymać</w:t>
      </w:r>
      <w:proofErr w:type="gramEnd"/>
      <w:r w:rsidRPr="00211001">
        <w:t xml:space="preserve"> stan </w:t>
      </w:r>
      <w:r w:rsidR="00BC55F2" w:rsidRPr="00211001">
        <w:t>sterling non-</w:t>
      </w:r>
      <w:proofErr w:type="spellStart"/>
      <w:r w:rsidR="00BC55F2" w:rsidRPr="00211001">
        <w:t>financial</w:t>
      </w:r>
      <w:proofErr w:type="spellEnd"/>
      <w:r w:rsidR="00BC55F2" w:rsidRPr="00211001">
        <w:t xml:space="preserve"> investment-</w:t>
      </w:r>
      <w:proofErr w:type="spellStart"/>
      <w:r w:rsidR="00BC55F2" w:rsidRPr="00211001">
        <w:t>grade</w:t>
      </w:r>
      <w:proofErr w:type="spellEnd"/>
      <w:r w:rsidR="00BC55F2" w:rsidRPr="00211001">
        <w:t xml:space="preserve"> </w:t>
      </w:r>
      <w:proofErr w:type="spellStart"/>
      <w:r w:rsidR="00BC55F2" w:rsidRPr="00211001">
        <w:t>corporate</w:t>
      </w:r>
      <w:proofErr w:type="spellEnd"/>
      <w:r w:rsidR="00BC55F2" w:rsidRPr="00211001">
        <w:t xml:space="preserve"> </w:t>
      </w:r>
      <w:proofErr w:type="spellStart"/>
      <w:r w:rsidR="00BC55F2" w:rsidRPr="00211001">
        <w:t>bond</w:t>
      </w:r>
      <w:proofErr w:type="spellEnd"/>
      <w:r w:rsidR="00BC55F2" w:rsidRPr="00211001">
        <w:t xml:space="preserve"> </w:t>
      </w:r>
      <w:proofErr w:type="spellStart"/>
      <w:r w:rsidR="00BC55F2" w:rsidRPr="00211001">
        <w:t>purchases</w:t>
      </w:r>
      <w:proofErr w:type="spellEnd"/>
      <w:r w:rsidRPr="00211001">
        <w:t xml:space="preserve"> finansowany z rezerwy banku centralnego na poziomie 10 miliardów funtów</w:t>
      </w:r>
    </w:p>
    <w:p w:rsidR="00211001" w:rsidRPr="00211001" w:rsidRDefault="00211001" w:rsidP="00211001">
      <w:r>
        <w:t xml:space="preserve">1.4 </w:t>
      </w:r>
      <w:proofErr w:type="gramStart"/>
      <w:r>
        <w:t>utrzymać</w:t>
      </w:r>
      <w:proofErr w:type="gramEnd"/>
      <w:r w:rsidRPr="00211001">
        <w:t xml:space="preserve"> stan </w:t>
      </w:r>
      <w:r w:rsidR="00BC55F2" w:rsidRPr="00211001">
        <w:t xml:space="preserve">UK </w:t>
      </w:r>
      <w:proofErr w:type="spellStart"/>
      <w:r w:rsidR="00BC55F2" w:rsidRPr="00211001">
        <w:t>government</w:t>
      </w:r>
      <w:proofErr w:type="spellEnd"/>
      <w:r w:rsidR="00BC55F2" w:rsidRPr="00211001">
        <w:t xml:space="preserve"> </w:t>
      </w:r>
      <w:proofErr w:type="spellStart"/>
      <w:r w:rsidR="00BC55F2" w:rsidRPr="00211001">
        <w:t>bond</w:t>
      </w:r>
      <w:proofErr w:type="spellEnd"/>
      <w:r w:rsidR="00BC55F2" w:rsidRPr="00211001">
        <w:t xml:space="preserve"> </w:t>
      </w:r>
      <w:proofErr w:type="spellStart"/>
      <w:r w:rsidR="00BC55F2" w:rsidRPr="00211001">
        <w:t>purchases</w:t>
      </w:r>
      <w:proofErr w:type="spellEnd"/>
      <w:r w:rsidRPr="00211001">
        <w:t xml:space="preserve"> </w:t>
      </w:r>
      <w:r w:rsidRPr="00211001">
        <w:t xml:space="preserve">finansowany z rezerwy banku centralnego na poziomie </w:t>
      </w:r>
      <w:r>
        <w:t>435</w:t>
      </w:r>
      <w:r w:rsidRPr="00211001">
        <w:t xml:space="preserve"> miliardów funtów</w:t>
      </w:r>
    </w:p>
    <w:p w:rsidR="00BC55F2" w:rsidRPr="00211001" w:rsidRDefault="00BC55F2"/>
    <w:p w:rsidR="00211001" w:rsidRDefault="00211001" w:rsidP="00211001">
      <w:pPr>
        <w:rPr>
          <w:lang w:val="en-AU"/>
        </w:rPr>
      </w:pPr>
      <w:r w:rsidRPr="00211001">
        <w:rPr>
          <w:lang w:val="en-AU"/>
        </w:rPr>
        <w:t xml:space="preserve">2. </w:t>
      </w:r>
      <w:r w:rsidR="00BC55F2" w:rsidRPr="00211001">
        <w:rPr>
          <w:lang w:val="en-AU"/>
        </w:rPr>
        <w:t>Financial Policy Committee (FPC)</w:t>
      </w:r>
      <w:r w:rsidRPr="00211001">
        <w:rPr>
          <w:lang w:val="en-AU"/>
        </w:rPr>
        <w:t>:</w:t>
      </w:r>
    </w:p>
    <w:p w:rsidR="00413245" w:rsidRDefault="00413245" w:rsidP="00211001"/>
    <w:p w:rsidR="00211001" w:rsidRPr="00211001" w:rsidRDefault="00211001" w:rsidP="00211001">
      <w:r>
        <w:t>2.1.</w:t>
      </w:r>
      <w:r w:rsidRPr="00211001">
        <w:t xml:space="preserve"> </w:t>
      </w:r>
      <w:proofErr w:type="gramStart"/>
      <w:r w:rsidRPr="00211001">
        <w:t>zredukował</w:t>
      </w:r>
      <w:proofErr w:type="gramEnd"/>
      <w:r w:rsidRPr="00211001">
        <w:t xml:space="preserve"> </w:t>
      </w:r>
      <w:r w:rsidR="00413245">
        <w:t xml:space="preserve">natychmiastowo </w:t>
      </w:r>
      <w:proofErr w:type="spellStart"/>
      <w:r w:rsidRPr="00211001">
        <w:t>kontrykliczny</w:t>
      </w:r>
      <w:proofErr w:type="spellEnd"/>
      <w:r w:rsidRPr="00211001">
        <w:t xml:space="preserve"> narzut kapitałowy na ryzyko od po</w:t>
      </w:r>
      <w:r>
        <w:t xml:space="preserve">życzających z UK do 0%.  Narzut przed decyzją </w:t>
      </w:r>
      <w:proofErr w:type="spellStart"/>
      <w:r>
        <w:t>wynoisł</w:t>
      </w:r>
      <w:proofErr w:type="spellEnd"/>
      <w:r>
        <w:t xml:space="preserve"> 1% i miał być zwiększony do 2% w grudniu 2020</w:t>
      </w:r>
    </w:p>
    <w:p w:rsidR="00BC55F2" w:rsidRDefault="00211001" w:rsidP="00413245">
      <w:pPr>
        <w:rPr>
          <w:lang w:val="en-AU"/>
        </w:rPr>
      </w:pPr>
      <w:r w:rsidRPr="00413245">
        <w:t xml:space="preserve">2.2. </w:t>
      </w:r>
      <w:r w:rsidR="00BC55F2" w:rsidRPr="00413245">
        <w:t xml:space="preserve">FPC </w:t>
      </w:r>
      <w:r w:rsidR="00413245" w:rsidRPr="00413245">
        <w:t xml:space="preserve">oczekuje, że utrzyma </w:t>
      </w:r>
      <w:proofErr w:type="spellStart"/>
      <w:r w:rsidR="00413245" w:rsidRPr="00413245">
        <w:t>kontrcykliczny</w:t>
      </w:r>
      <w:proofErr w:type="spellEnd"/>
      <w:r w:rsidR="00413245" w:rsidRPr="00413245">
        <w:t xml:space="preserve"> narzut kapitałowy na poziomie 0%, przez co najmniej 12 miesięcy. </w:t>
      </w:r>
      <w:r w:rsidR="00413245">
        <w:t xml:space="preserve"> </w:t>
      </w:r>
      <w:proofErr w:type="gramStart"/>
      <w:r w:rsidR="00BC55F2" w:rsidRPr="00413245">
        <w:rPr>
          <w:lang w:val="en-AU"/>
        </w:rPr>
        <w:t>rate</w:t>
      </w:r>
      <w:proofErr w:type="gramEnd"/>
      <w:r w:rsidR="00BC55F2" w:rsidRPr="00413245">
        <w:rPr>
          <w:lang w:val="en-AU"/>
        </w:rPr>
        <w:t xml:space="preserve"> for at least 12 months, so that any subsequent increase would not take effect until March 2022 at the earliest.</w:t>
      </w:r>
    </w:p>
    <w:p w:rsidR="00413245" w:rsidRDefault="00413245" w:rsidP="00413245">
      <w:pPr>
        <w:rPr>
          <w:lang w:val="en-AU"/>
        </w:rPr>
      </w:pPr>
    </w:p>
    <w:p w:rsidR="00BC55F2" w:rsidRPr="00413245" w:rsidRDefault="00413245" w:rsidP="00413245">
      <w:pPr>
        <w:rPr>
          <w:lang w:val="en-AU"/>
        </w:rPr>
      </w:pPr>
      <w:r>
        <w:rPr>
          <w:lang w:val="en-AU"/>
        </w:rPr>
        <w:t>3.  P</w:t>
      </w:r>
      <w:r w:rsidR="00211001" w:rsidRPr="00413245">
        <w:rPr>
          <w:lang w:val="en-AU"/>
        </w:rPr>
        <w:t>rudential Regulation Committee (PRC)</w:t>
      </w:r>
    </w:p>
    <w:p w:rsidR="00413245" w:rsidRPr="00413245" w:rsidRDefault="00413245" w:rsidP="00413245">
      <w:pPr>
        <w:pStyle w:val="NormalWeb"/>
        <w:rPr>
          <w:lang w:val="pl-PL"/>
        </w:rPr>
      </w:pPr>
      <w:r w:rsidRPr="00413245">
        <w:rPr>
          <w:lang w:val="pl-PL"/>
        </w:rPr>
        <w:t xml:space="preserve">3.1. PRC zachęca firmy ubezpieczeniowe do korzystania z elastyczności dostępnej w </w:t>
      </w:r>
      <w:proofErr w:type="spellStart"/>
      <w:r w:rsidR="00BC55F2" w:rsidRPr="00413245">
        <w:rPr>
          <w:lang w:val="pl-PL"/>
        </w:rPr>
        <w:t>Solvency</w:t>
      </w:r>
      <w:proofErr w:type="spellEnd"/>
      <w:r w:rsidR="00BC55F2" w:rsidRPr="00413245">
        <w:rPr>
          <w:lang w:val="pl-PL"/>
        </w:rPr>
        <w:t xml:space="preserve"> II </w:t>
      </w:r>
      <w:r w:rsidRPr="00413245">
        <w:rPr>
          <w:lang w:val="pl-PL"/>
        </w:rPr>
        <w:t xml:space="preserve">do </w:t>
      </w:r>
      <w:r>
        <w:rPr>
          <w:lang w:val="pl-PL"/>
        </w:rPr>
        <w:t xml:space="preserve">tymczasowego </w:t>
      </w:r>
      <w:r w:rsidRPr="00413245">
        <w:rPr>
          <w:lang w:val="pl-PL"/>
        </w:rPr>
        <w:t>przeszacowania</w:t>
      </w:r>
      <w:r>
        <w:rPr>
          <w:lang w:val="pl-PL"/>
        </w:rPr>
        <w:t>, które wygładzi wpływ</w:t>
      </w:r>
      <w:r w:rsidR="00651F19">
        <w:rPr>
          <w:lang w:val="pl-PL"/>
        </w:rPr>
        <w:t xml:space="preserve"> zmian rynkowych wycen aktywów na ich portfele.</w:t>
      </w:r>
    </w:p>
    <w:p w:rsidR="00BC55F2" w:rsidRPr="00651F19" w:rsidRDefault="00BC55F2" w:rsidP="00BC55F2">
      <w:pPr>
        <w:pStyle w:val="NormalWeb"/>
        <w:rPr>
          <w:lang w:val="pl-PL"/>
        </w:rPr>
      </w:pPr>
    </w:p>
    <w:p w:rsidR="00BC55F2" w:rsidRDefault="00BC55F2"/>
    <w:p w:rsidR="00DA4972" w:rsidRDefault="00DA4972"/>
    <w:p w:rsidR="00DA4972" w:rsidRPr="004648BD" w:rsidRDefault="00DA4972" w:rsidP="00DA4972">
      <w:pPr>
        <w:rPr>
          <w:lang w:eastAsia="en-AU"/>
        </w:rPr>
      </w:pPr>
      <w:r>
        <w:t>Decyzje ECB w sprawie polityki pieniężnej</w:t>
      </w:r>
    </w:p>
    <w:p w:rsidR="00DA4972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 xml:space="preserve"> (1) Dla zapewnienia systemowi finansowemu strefy euro doraźnego wsparcia płynnościowego będą prowadzone, przejściowo, dodatkowe dłuższe operacje refinansujące (LTRO). </w:t>
      </w:r>
    </w:p>
    <w:p w:rsidR="00DA4972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 xml:space="preserve">Rada Prezesów nie widzi wprawdzie istotnych oznak napięć na rynkach pieniężnych ani niedoborów płynności w systemie bankowym, ale w razie potrzeby te operacje będą stanowić skuteczny mechanizm zabezpieczający. </w:t>
      </w:r>
    </w:p>
    <w:p w:rsidR="00DA4972" w:rsidRPr="004648BD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>Będą one prowadzone w trybie przetargu kwotowego z pełnym przydziałem po stopie równej średniej stopie depozytowej. Te operacje zapewnią pomostową płynność na korzystnych warunkach do następnej operacji TLTRO</w:t>
      </w:r>
      <w:r w:rsidRPr="004648BD">
        <w:rPr>
          <w:lang w:val="pl-PL"/>
        </w:rPr>
        <w:noBreakHyphen/>
        <w:t xml:space="preserve">III, która przypada w czerwcu 2020. </w:t>
      </w:r>
    </w:p>
    <w:p w:rsidR="00DA4972" w:rsidRDefault="00DA4972" w:rsidP="00DA4972">
      <w:pPr>
        <w:pStyle w:val="NormalWeb"/>
        <w:rPr>
          <w:lang w:val="pl-PL"/>
        </w:rPr>
      </w:pPr>
    </w:p>
    <w:p w:rsidR="00DA4972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lastRenderedPageBreak/>
        <w:t xml:space="preserve">(2) </w:t>
      </w:r>
      <w:r>
        <w:rPr>
          <w:lang w:val="pl-PL"/>
        </w:rPr>
        <w:t>O</w:t>
      </w:r>
      <w:r w:rsidRPr="004648BD">
        <w:rPr>
          <w:lang w:val="pl-PL"/>
        </w:rPr>
        <w:t>peracje TLTRO</w:t>
      </w:r>
      <w:r w:rsidRPr="004648BD">
        <w:rPr>
          <w:lang w:val="pl-PL"/>
        </w:rPr>
        <w:noBreakHyphen/>
        <w:t>III, od czerwca 2020 do czerwca 2021</w:t>
      </w:r>
      <w:r>
        <w:rPr>
          <w:lang w:val="pl-PL"/>
        </w:rPr>
        <w:t>:</w:t>
      </w:r>
      <w:r w:rsidRPr="004648BD">
        <w:rPr>
          <w:lang w:val="pl-PL"/>
        </w:rPr>
        <w:t xml:space="preserve"> do wszystkich operacji otwartych w danym okresie będą stosowane znacznie korzystniejsze warunki. </w:t>
      </w:r>
    </w:p>
    <w:p w:rsidR="00DA4972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 xml:space="preserve">Te operacje mają wspierać dopływ kredytów do podmiotów najbardziej dotkniętych epidemią </w:t>
      </w:r>
      <w:proofErr w:type="spellStart"/>
      <w:r w:rsidRPr="004648BD">
        <w:rPr>
          <w:lang w:val="pl-PL"/>
        </w:rPr>
        <w:t>koronawirusa</w:t>
      </w:r>
      <w:proofErr w:type="spellEnd"/>
      <w:r w:rsidRPr="004648BD">
        <w:rPr>
          <w:lang w:val="pl-PL"/>
        </w:rPr>
        <w:t xml:space="preserve">, a zwłaszcza – do małych i średnich przedsiębiorstw. </w:t>
      </w:r>
    </w:p>
    <w:p w:rsidR="00DA4972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>W tym okresie oprocentowanie operacji TLTRO</w:t>
      </w:r>
      <w:r w:rsidRPr="004648BD">
        <w:rPr>
          <w:lang w:val="pl-PL"/>
        </w:rPr>
        <w:noBreakHyphen/>
        <w:t xml:space="preserve">III będzie o 25 pkt bazowych niższe od średniej stopy stosowanej w podstawowych operacjach refinansujących Eurosystemu. </w:t>
      </w:r>
    </w:p>
    <w:p w:rsidR="00DA4972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 xml:space="preserve">Dla kontrahentów, którzy utrzymają skalę swojej akcji kredytowej, oprocentowanie tych operacji zostanie obniżone – w okresie do czerwca 2021 nawet do 25 pkt bazowych poniżej średniej stopy depozytowej. </w:t>
      </w:r>
    </w:p>
    <w:p w:rsidR="00DA4972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>Ponadto maksymalna kwota, jaką od teraz kontrahenci będą mogli pożyczyć w ramach operacji TLTRO</w:t>
      </w:r>
      <w:r w:rsidRPr="004648BD">
        <w:rPr>
          <w:lang w:val="pl-PL"/>
        </w:rPr>
        <w:noBreakHyphen/>
        <w:t xml:space="preserve">III, zostaje podniesiona do 50% salda kwalifikowanych kredytów na 28 lutego 2019. </w:t>
      </w:r>
    </w:p>
    <w:p w:rsidR="00DA4972" w:rsidRPr="004648BD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 xml:space="preserve">W tym kontekście Rada Prezesów zleci komitetom Eurosystemu przeanalizowanie możliwości złagodzenia wymogów w zakresie zabezpieczeń, tak aby kontrahenci byli w stanie w pełni wykorzystać dostępne wsparcie finansowe. </w:t>
      </w:r>
    </w:p>
    <w:p w:rsidR="00DA4972" w:rsidRPr="004648BD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 xml:space="preserve">(3) Żeby zapewnić silne wsparcie ze strony programów skupu aktywów sektora prywatnego, na okres do końca roku zostanie uruchomiona dodatkowa przejściowa pula zakupów netto aktywów w kwocie 120 mld euro. W połączeniu z obecnym programem skupu aktywów (APP) pozwoli to utrzymać korzystne warunki finansowania gospodarki realnej w czasach podwyższonej niepewności. </w:t>
      </w:r>
    </w:p>
    <w:p w:rsidR="00DA4972" w:rsidRPr="004648BD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>Rada Prezesów w dalszym ciągu oczekuje, że zakupy netto aktywów będą prowadzone tak długo, jak długo będzie to konieczne do wzmocnienia łagodzącego oddziaływania podstawowych stóp procentowych EBC, i że zakończą się krótko przed tym, jak zacznie ona podnosić te stopy.</w:t>
      </w:r>
    </w:p>
    <w:p w:rsidR="00DA4972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 xml:space="preserve">(4) Stopa procentowa podstawowych operacji refinansujących oraz stopy kredytu w banku centralnym i depozytu w banku centralnym pozostaną na niezmienionym poziomie, odpowiednio: 0,00%, 0,25% oraz −0,50%. </w:t>
      </w:r>
    </w:p>
    <w:p w:rsidR="00DA4972" w:rsidRPr="004648BD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>Rada Prezesów oczekuje, że podstawowe stopy procentowe EBC pozostaną na obecnym lub niższym poziomie, dopóki Rada nie stwierdzi, że perspektywy inflacji w horyzoncie czasowym jej projekcji zdecydowanie zbliżają się do poziomu, który jest wystarczająco blisko, ale poniżej 2%, oraz że to zbliżenie konsekwentnie odzwierciedla się w dynamice inflacji bazowej.</w:t>
      </w:r>
    </w:p>
    <w:p w:rsidR="00DA4972" w:rsidRPr="004648BD" w:rsidRDefault="00DA4972" w:rsidP="00DA4972">
      <w:pPr>
        <w:pStyle w:val="NormalWeb"/>
        <w:rPr>
          <w:lang w:val="pl-PL"/>
        </w:rPr>
      </w:pPr>
      <w:r w:rsidRPr="004648BD">
        <w:rPr>
          <w:lang w:val="pl-PL"/>
        </w:rPr>
        <w:t>(5) Spłaty kapitału z tytułu zapadających papierów wartościowych nabytych w ramach programu APP będą w dalszym ciągu reinwestowane – w całości – jeszcze przez dłuższy czas po tym, jak Rada Prezesów zacznie podnosić podstawowe stopy procentowe EBC, a w każdym razie tak długo, jak długo będzie to konieczne do utrzymania korzystnych warunków płynnościowych i zdecydowanie łagodnej polityki pieniężnej.</w:t>
      </w:r>
    </w:p>
    <w:p w:rsidR="00DA4972" w:rsidRDefault="00DA4972" w:rsidP="00DA4972"/>
    <w:p w:rsidR="00DA4972" w:rsidRPr="00651F19" w:rsidRDefault="00DA4972">
      <w:bookmarkStart w:id="0" w:name="_GoBack"/>
      <w:bookmarkEnd w:id="0"/>
    </w:p>
    <w:sectPr w:rsidR="00DA4972" w:rsidRPr="00651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1BAA"/>
    <w:multiLevelType w:val="multilevel"/>
    <w:tmpl w:val="156C173A"/>
    <w:lvl w:ilvl="0">
      <w:start w:val="1"/>
      <w:numFmt w:val="decimal"/>
      <w:pStyle w:val="Heading1"/>
      <w:isLgl/>
      <w:suff w:val="space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CB1729E"/>
    <w:multiLevelType w:val="multilevel"/>
    <w:tmpl w:val="1C44CB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BD80588"/>
    <w:multiLevelType w:val="multilevel"/>
    <w:tmpl w:val="9B44F48C"/>
    <w:lvl w:ilvl="0">
      <w:start w:val="1"/>
      <w:numFmt w:val="decimal"/>
      <w:isLgl/>
      <w:suff w:val="space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color w:val="000099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F2"/>
    <w:rsid w:val="00211001"/>
    <w:rsid w:val="00413245"/>
    <w:rsid w:val="00651F19"/>
    <w:rsid w:val="00B1337A"/>
    <w:rsid w:val="00BC55F2"/>
    <w:rsid w:val="00C57EE2"/>
    <w:rsid w:val="00DA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80EF7-D206-4B7C-9783-1B5934CE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37A"/>
    <w:pPr>
      <w:spacing w:after="0" w:line="240" w:lineRule="auto"/>
    </w:pPr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rsid w:val="00B1337A"/>
    <w:pPr>
      <w:keepNext/>
      <w:numPr>
        <w:numId w:val="15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37A"/>
    <w:pPr>
      <w:keepNext/>
      <w:numPr>
        <w:ilvl w:val="1"/>
        <w:numId w:val="1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1337A"/>
    <w:pPr>
      <w:keepNext/>
      <w:numPr>
        <w:ilvl w:val="2"/>
        <w:numId w:val="15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337A"/>
    <w:rPr>
      <w:rFonts w:eastAsia="Times New Roman" w:cs="Arial"/>
      <w:b/>
      <w:bCs/>
      <w:iCs/>
      <w:szCs w:val="28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B1337A"/>
    <w:rPr>
      <w:rFonts w:eastAsia="Times New Roman" w:cs="Arial"/>
      <w:b/>
      <w:bCs/>
      <w:kern w:val="32"/>
      <w:szCs w:val="32"/>
      <w:lang w:val="pl-PL" w:eastAsia="pl-PL"/>
    </w:rPr>
  </w:style>
  <w:style w:type="character" w:customStyle="1" w:styleId="Heading3Char">
    <w:name w:val="Heading 3 Char"/>
    <w:basedOn w:val="DefaultParagraphFont"/>
    <w:link w:val="Heading3"/>
    <w:rsid w:val="00B1337A"/>
    <w:rPr>
      <w:rFonts w:eastAsia="Times New Roman" w:cs="Arial"/>
      <w:b/>
      <w:bCs/>
      <w:szCs w:val="26"/>
      <w:lang w:val="pl-PL" w:eastAsia="pl-PL"/>
    </w:rPr>
  </w:style>
  <w:style w:type="paragraph" w:styleId="NormalWeb">
    <w:name w:val="Normal (Web)"/>
    <w:basedOn w:val="Normal"/>
    <w:uiPriority w:val="99"/>
    <w:unhideWhenUsed/>
    <w:rsid w:val="00BC55F2"/>
    <w:pPr>
      <w:spacing w:before="100" w:beforeAutospacing="1" w:after="100" w:afterAutospacing="1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21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Dobromi</dc:creator>
  <cp:keywords/>
  <dc:description/>
  <cp:lastModifiedBy>Dobromi</cp:lastModifiedBy>
  <cp:revision>1</cp:revision>
  <dcterms:created xsi:type="dcterms:W3CDTF">2020-03-14T19:55:00Z</dcterms:created>
  <dcterms:modified xsi:type="dcterms:W3CDTF">2020-03-14T21:47:00Z</dcterms:modified>
</cp:coreProperties>
</file>